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DAA" w:rsidRPr="00F15DAA" w:rsidRDefault="00F15DAA" w:rsidP="00F15DAA">
      <w:pPr>
        <w:widowControl/>
        <w:spacing w:line="750" w:lineRule="atLeast"/>
        <w:jc w:val="center"/>
        <w:outlineLvl w:val="2"/>
        <w:rPr>
          <w:rFonts w:ascii="Helvetica" w:eastAsia="宋体" w:hAnsi="Helvetica" w:cs="Helvetica" w:hint="eastAsia"/>
          <w:color w:val="262626"/>
          <w:kern w:val="0"/>
          <w:sz w:val="44"/>
          <w:szCs w:val="44"/>
        </w:rPr>
      </w:pPr>
      <w:r w:rsidRPr="00F15DAA">
        <w:rPr>
          <w:rFonts w:ascii="Helvetica" w:eastAsia="宋体" w:hAnsi="Helvetica" w:cs="Helvetica"/>
          <w:color w:val="262626"/>
          <w:kern w:val="0"/>
          <w:sz w:val="44"/>
          <w:szCs w:val="44"/>
        </w:rPr>
        <w:t>中共中央国务院关于加强新时代老龄工作的意见</w:t>
      </w:r>
    </w:p>
    <w:p w:rsidR="00F15DAA" w:rsidRPr="00F15DAA" w:rsidRDefault="00F15DAA" w:rsidP="00F15DAA">
      <w:pPr>
        <w:widowControl/>
        <w:spacing w:line="750" w:lineRule="atLeast"/>
        <w:jc w:val="center"/>
        <w:outlineLvl w:val="2"/>
        <w:rPr>
          <w:rFonts w:ascii="Helvetica" w:eastAsia="宋体" w:hAnsi="Helvetica" w:cs="Helvetica"/>
          <w:color w:val="262626"/>
          <w:kern w:val="0"/>
          <w:sz w:val="44"/>
          <w:szCs w:val="44"/>
        </w:rPr>
      </w:pPr>
      <w:r w:rsidRPr="00F15DAA">
        <w:rPr>
          <w:rFonts w:ascii="Helvetica" w:eastAsia="宋体" w:hAnsi="Helvetica" w:cs="Helvetica"/>
          <w:color w:val="262626"/>
          <w:kern w:val="0"/>
          <w:sz w:val="44"/>
          <w:szCs w:val="44"/>
        </w:rPr>
        <w:t>（</w:t>
      </w:r>
      <w:r w:rsidRPr="00F15DAA">
        <w:rPr>
          <w:rFonts w:ascii="Helvetica" w:eastAsia="宋体" w:hAnsi="Helvetica" w:cs="Helvetica"/>
          <w:color w:val="262626"/>
          <w:kern w:val="0"/>
          <w:sz w:val="44"/>
          <w:szCs w:val="44"/>
        </w:rPr>
        <w:t>2021</w:t>
      </w:r>
      <w:r w:rsidRPr="00F15DAA">
        <w:rPr>
          <w:rFonts w:ascii="Helvetica" w:eastAsia="宋体" w:hAnsi="Helvetica" w:cs="Helvetica"/>
          <w:color w:val="262626"/>
          <w:kern w:val="0"/>
          <w:sz w:val="44"/>
          <w:szCs w:val="44"/>
        </w:rPr>
        <w:t>年</w:t>
      </w:r>
      <w:r w:rsidRPr="00F15DAA">
        <w:rPr>
          <w:rFonts w:ascii="Helvetica" w:eastAsia="宋体" w:hAnsi="Helvetica" w:cs="Helvetica"/>
          <w:color w:val="262626"/>
          <w:kern w:val="0"/>
          <w:sz w:val="44"/>
          <w:szCs w:val="44"/>
        </w:rPr>
        <w:t>11</w:t>
      </w:r>
      <w:r w:rsidRPr="00F15DAA">
        <w:rPr>
          <w:rFonts w:ascii="Helvetica" w:eastAsia="宋体" w:hAnsi="Helvetica" w:cs="Helvetica"/>
          <w:color w:val="262626"/>
          <w:kern w:val="0"/>
          <w:sz w:val="44"/>
          <w:szCs w:val="44"/>
        </w:rPr>
        <w:t>月</w:t>
      </w:r>
      <w:r w:rsidRPr="00F15DAA">
        <w:rPr>
          <w:rFonts w:ascii="Helvetica" w:eastAsia="宋体" w:hAnsi="Helvetica" w:cs="Helvetica"/>
          <w:color w:val="262626"/>
          <w:kern w:val="0"/>
          <w:sz w:val="44"/>
          <w:szCs w:val="44"/>
        </w:rPr>
        <w:t>18</w:t>
      </w:r>
      <w:r w:rsidRPr="00F15DAA">
        <w:rPr>
          <w:rFonts w:ascii="Helvetica" w:eastAsia="宋体" w:hAnsi="Helvetica" w:cs="Helvetica"/>
          <w:color w:val="262626"/>
          <w:kern w:val="0"/>
          <w:sz w:val="44"/>
          <w:szCs w:val="44"/>
        </w:rPr>
        <w:t>日）</w:t>
      </w:r>
    </w:p>
    <w:p w:rsidR="00F15DAA" w:rsidRDefault="00F15DAA" w:rsidP="00F15DAA">
      <w:pPr>
        <w:widowControl/>
        <w:spacing w:after="75"/>
        <w:jc w:val="left"/>
        <w:rPr>
          <w:rFonts w:ascii="Helvetica" w:eastAsia="宋体" w:hAnsi="Helvetica" w:cs="Helvetica" w:hint="eastAsia"/>
          <w:color w:val="888888"/>
          <w:spacing w:val="15"/>
          <w:kern w:val="0"/>
        </w:rPr>
      </w:pPr>
    </w:p>
    <w:p w:rsidR="00F15DAA" w:rsidRPr="00F15DAA" w:rsidRDefault="00F15DAA" w:rsidP="00F15DAA">
      <w:pPr>
        <w:widowControl/>
        <w:jc w:val="left"/>
        <w:rPr>
          <w:rFonts w:ascii="Helvetica" w:eastAsia="宋体" w:hAnsi="Helvetica" w:cs="Helvetica"/>
          <w:color w:val="888888"/>
          <w:spacing w:val="15"/>
          <w:kern w:val="0"/>
          <w:szCs w:val="21"/>
        </w:rPr>
      </w:pPr>
      <w:r w:rsidRPr="00F15DAA">
        <w:rPr>
          <w:rFonts w:ascii="Helvetica" w:eastAsia="宋体" w:hAnsi="Helvetica" w:cs="Helvetica"/>
          <w:color w:val="888888"/>
          <w:spacing w:val="15"/>
          <w:kern w:val="0"/>
        </w:rPr>
        <w:t>来源：</w:t>
      </w:r>
      <w:hyperlink r:id="rId5" w:history="1">
        <w:r w:rsidRPr="00F15DAA">
          <w:rPr>
            <w:rFonts w:ascii="Helvetica" w:eastAsia="宋体" w:hAnsi="Helvetica" w:cs="Helvetica"/>
            <w:color w:val="888888"/>
            <w:spacing w:val="15"/>
            <w:kern w:val="0"/>
          </w:rPr>
          <w:t>人民日报</w:t>
        </w:r>
      </w:hyperlink>
    </w:p>
    <w:p w:rsidR="00F15DAA" w:rsidRPr="00F15DAA" w:rsidRDefault="00F15DAA" w:rsidP="00F15DAA">
      <w:pPr>
        <w:widowControl/>
        <w:jc w:val="left"/>
        <w:rPr>
          <w:rFonts w:ascii="Helvetica" w:eastAsia="宋体" w:hAnsi="Helvetica" w:cs="Helvetica"/>
          <w:color w:val="888888"/>
          <w:spacing w:val="15"/>
          <w:kern w:val="0"/>
          <w:szCs w:val="21"/>
        </w:rPr>
      </w:pPr>
      <w:r w:rsidRPr="00F15DAA">
        <w:rPr>
          <w:rFonts w:ascii="Helvetica" w:eastAsia="宋体" w:hAnsi="Helvetica" w:cs="Helvetica"/>
          <w:color w:val="888888"/>
          <w:spacing w:val="15"/>
          <w:kern w:val="0"/>
          <w:szCs w:val="21"/>
        </w:rPr>
        <w:t>2021-11-25 09:09</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有效应对我国人口老龄化，事关国家发展全局，事关亿万百姓福祉，事关社会和谐稳定，对于全面建设社会主义现代化国家具有重要意义。为实施积极应对人口老龄化国家战略，加强新时代老龄工作，提升广大老年人的获得感、幸福感、安全感，现提出如下意见。</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一、总体要求</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一）指导思想。以习近平新时代中国特色社会主义思想为指导，深入贯彻党的十九大和十九届二中、三中、四中、五中、六中全会精神，加强党对老龄工作的全面领导，坚持以人民为中心，将老龄事业发展纳入统筹推进</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五位一体</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总体布局和协调推进</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四个全面</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战略布局，实施积极应对人口老龄化国家战略，把积极老龄观、健康老龄化理念融入经济社会发展全过程，加快建立健全相关政策体系和制度框架，大力弘扬中华民族孝亲敬老传统美德，促进老年人养老服务、健康服务、社会保障、社会参与、权益保障等统筹发展，推动老龄事业高质量发展，走出一条中国特色积极应对人口老龄化道路。</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（二）工作原则</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lastRenderedPageBreak/>
        <w:t>——</w:t>
      </w:r>
      <w:r w:rsidRPr="00F15DAA">
        <w:rPr>
          <w:rFonts w:ascii="Helvetica" w:eastAsia="宋体" w:hAnsi="Helvetica" w:cs="Helvetica"/>
          <w:color w:val="262626"/>
          <w:spacing w:val="15"/>
          <w:kern w:val="0"/>
          <w:sz w:val="27"/>
          <w:szCs w:val="27"/>
        </w:rPr>
        <w:t>坚持党委领导、各方参与。在党委领导下，充分发挥政府在推进老龄事业发展中的主导作用，社会参与，全民行动，提供基本公益性产品和服务。充分发挥市场机制作用，提供多元化产品和服务。注重发挥家庭养老、个人自我养老的作用，形成多元主体责任共担、老龄化风险梯次应对、老龄事业人人参与的新局面。</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坚持系统谋划、综合施策。坚持应对人口老龄化和促进经济社会发展相结合，坚持满足老年人需求和解决人口老龄化问题相结合，确保各项政策制度目标一致、功能协调、衔接配套，努力实现老有所养、老有所</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、老有所为、老有所学、老有所乐，让老年人共享改革发展成果、安享幸福晚年。</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坚持整合资源、协调发展。构建居家社区机构相协调、</w:t>
      </w:r>
      <w:proofErr w:type="gramStart"/>
      <w:r w:rsidRPr="00F15DAA">
        <w:rPr>
          <w:rFonts w:ascii="Helvetica" w:eastAsia="宋体" w:hAnsi="Helvetica" w:cs="Helvetica"/>
          <w:color w:val="262626"/>
          <w:spacing w:val="15"/>
          <w:kern w:val="0"/>
          <w:sz w:val="27"/>
          <w:szCs w:val="27"/>
        </w:rPr>
        <w:t>医养康养</w:t>
      </w:r>
      <w:proofErr w:type="gramEnd"/>
      <w:r w:rsidRPr="00F15DAA">
        <w:rPr>
          <w:rFonts w:ascii="Helvetica" w:eastAsia="宋体" w:hAnsi="Helvetica" w:cs="Helvetica"/>
          <w:color w:val="262626"/>
          <w:spacing w:val="15"/>
          <w:kern w:val="0"/>
          <w:sz w:val="27"/>
          <w:szCs w:val="27"/>
        </w:rPr>
        <w:t>相结合的养老服务体系和健康支撑体系，大力发展</w:t>
      </w:r>
      <w:proofErr w:type="gramStart"/>
      <w:r w:rsidRPr="00F15DAA">
        <w:rPr>
          <w:rFonts w:ascii="Helvetica" w:eastAsia="宋体" w:hAnsi="Helvetica" w:cs="Helvetica"/>
          <w:color w:val="262626"/>
          <w:spacing w:val="15"/>
          <w:kern w:val="0"/>
          <w:sz w:val="27"/>
          <w:szCs w:val="27"/>
        </w:rPr>
        <w:t>普惠型养老</w:t>
      </w:r>
      <w:proofErr w:type="gramEnd"/>
      <w:r w:rsidRPr="00F15DAA">
        <w:rPr>
          <w:rFonts w:ascii="Helvetica" w:eastAsia="宋体" w:hAnsi="Helvetica" w:cs="Helvetica"/>
          <w:color w:val="262626"/>
          <w:spacing w:val="15"/>
          <w:kern w:val="0"/>
          <w:sz w:val="27"/>
          <w:szCs w:val="27"/>
        </w:rPr>
        <w:t>服务，促进资源均衡配置。推动老龄事业与产业、基本公共服务与多样化服务协调发展，统筹好老年人经济保障、服务保障、精神关爱、作用发挥等制度安排。</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坚持突出重点、夯实基层。聚焦解决老年人健康养老最紧迫的问题，坚持保基本、促公平、提质量，尽力而为、量力而行，确保人人享有基本养老服务和公共卫生服务。推动老龄工作重心下移、资源下沉，推进各项优质服务资源向老年人的身边、</w:t>
      </w:r>
      <w:proofErr w:type="gramStart"/>
      <w:r w:rsidRPr="00F15DAA">
        <w:rPr>
          <w:rFonts w:ascii="Helvetica" w:eastAsia="宋体" w:hAnsi="Helvetica" w:cs="Helvetica"/>
          <w:color w:val="262626"/>
          <w:spacing w:val="15"/>
          <w:kern w:val="0"/>
          <w:sz w:val="27"/>
          <w:szCs w:val="27"/>
        </w:rPr>
        <w:t>家边和</w:t>
      </w:r>
      <w:proofErr w:type="gramEnd"/>
      <w:r w:rsidRPr="00F15DAA">
        <w:rPr>
          <w:rFonts w:ascii="Helvetica" w:eastAsia="宋体" w:hAnsi="Helvetica" w:cs="Helvetica"/>
          <w:color w:val="262626"/>
          <w:spacing w:val="15"/>
          <w:kern w:val="0"/>
          <w:sz w:val="27"/>
          <w:szCs w:val="27"/>
        </w:rPr>
        <w:t>周边聚集，确保老龄工作有人抓、老年人事情有人管、老年人困难有人帮。</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lastRenderedPageBreak/>
        <w:t>二、健全养老服务体系</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三）创新居家社区养老服务模式。以居家养老为基础，通过新建、改造、租赁等方式，提升社区养老服务能力，着力发展街道（乡镇）、城乡社区两级养老服务网络，依托社区发展以居家为基础的多样化养老服务。地方政府负责探索并推动建立专业机构服务向社区、家庭延伸的模式。街道社区负责引进助餐、</w:t>
      </w:r>
      <w:proofErr w:type="gramStart"/>
      <w:r w:rsidRPr="00F15DAA">
        <w:rPr>
          <w:rFonts w:ascii="Helvetica" w:eastAsia="宋体" w:hAnsi="Helvetica" w:cs="Helvetica"/>
          <w:color w:val="262626"/>
          <w:spacing w:val="15"/>
          <w:kern w:val="0"/>
          <w:sz w:val="27"/>
          <w:szCs w:val="27"/>
        </w:rPr>
        <w:t>助洁等</w:t>
      </w:r>
      <w:proofErr w:type="gramEnd"/>
      <w:r w:rsidRPr="00F15DAA">
        <w:rPr>
          <w:rFonts w:ascii="Helvetica" w:eastAsia="宋体" w:hAnsi="Helvetica" w:cs="Helvetica"/>
          <w:color w:val="262626"/>
          <w:spacing w:val="15"/>
          <w:kern w:val="0"/>
          <w:sz w:val="27"/>
          <w:szCs w:val="27"/>
        </w:rPr>
        <w:t>方面为老服务的专业机构，社区组织引进相关护理专业机构开展居家老年人照护工作；政府加强组织和监督工作。政府要培育为老服务的专业机构并指导其规范发展，引导其按照保本微利原则提供持续稳定的服务。充分发挥社区党组织作用，探索</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社区</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物业</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养老服务</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模式，增加居家社区养老服务有效供给。结合实施乡村振兴战略，加强农村养老服务机构和设施建设，鼓励以村级邻里互助点、农村幸福院为依托发展互助式养老服务。</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（四）进一步规范发展机构养老。各地要通过直接建设、委托运营、购买服务、鼓励社会投资等多种方式发展机构养老。加强光荣院建设。公办养老机构优先接收经济困难的失能（</w:t>
      </w:r>
      <w:proofErr w:type="gramStart"/>
      <w:r w:rsidRPr="00F15DAA">
        <w:rPr>
          <w:rFonts w:ascii="Helvetica" w:eastAsia="宋体" w:hAnsi="Helvetica" w:cs="Helvetica"/>
          <w:color w:val="262626"/>
          <w:spacing w:val="15"/>
          <w:kern w:val="0"/>
          <w:sz w:val="27"/>
          <w:szCs w:val="27"/>
        </w:rPr>
        <w:t>含失智</w:t>
      </w:r>
      <w:proofErr w:type="gramEnd"/>
      <w:r w:rsidRPr="00F15DAA">
        <w:rPr>
          <w:rFonts w:ascii="Helvetica" w:eastAsia="宋体" w:hAnsi="Helvetica" w:cs="Helvetica"/>
          <w:color w:val="262626"/>
          <w:spacing w:val="15"/>
          <w:kern w:val="0"/>
          <w:sz w:val="27"/>
          <w:szCs w:val="27"/>
        </w:rPr>
        <w:t>，下同）、孤寡、残疾、高龄老年人以及计划生育特殊家庭老年人、为社会</w:t>
      </w:r>
      <w:proofErr w:type="gramStart"/>
      <w:r w:rsidRPr="00F15DAA">
        <w:rPr>
          <w:rFonts w:ascii="Helvetica" w:eastAsia="宋体" w:hAnsi="Helvetica" w:cs="Helvetica"/>
          <w:color w:val="262626"/>
          <w:spacing w:val="15"/>
          <w:kern w:val="0"/>
          <w:sz w:val="27"/>
          <w:szCs w:val="27"/>
        </w:rPr>
        <w:t>作出</w:t>
      </w:r>
      <w:proofErr w:type="gramEnd"/>
      <w:r w:rsidRPr="00F15DAA">
        <w:rPr>
          <w:rFonts w:ascii="Helvetica" w:eastAsia="宋体" w:hAnsi="Helvetica" w:cs="Helvetica"/>
          <w:color w:val="262626"/>
          <w:spacing w:val="15"/>
          <w:kern w:val="0"/>
          <w:sz w:val="27"/>
          <w:szCs w:val="27"/>
        </w:rPr>
        <w:t>重要贡献的老年人，并提供符合质量和安全标准的养老服务。建立健全养老服务标准和评价体系，加强对养老机构建设和运营的监管。研究制定养老机构预收服务费用管理政策，严防借养老机构</w:t>
      </w:r>
      <w:proofErr w:type="gramStart"/>
      <w:r w:rsidRPr="00F15DAA">
        <w:rPr>
          <w:rFonts w:ascii="Helvetica" w:eastAsia="宋体" w:hAnsi="Helvetica" w:cs="Helvetica"/>
          <w:color w:val="262626"/>
          <w:spacing w:val="15"/>
          <w:kern w:val="0"/>
          <w:sz w:val="27"/>
          <w:szCs w:val="27"/>
        </w:rPr>
        <w:t>之名圈钱</w:t>
      </w:r>
      <w:proofErr w:type="gramEnd"/>
      <w:r w:rsidRPr="00F15DAA">
        <w:rPr>
          <w:rFonts w:ascii="Helvetica" w:eastAsia="宋体" w:hAnsi="Helvetica" w:cs="Helvetica"/>
          <w:color w:val="262626"/>
          <w:spacing w:val="15"/>
          <w:kern w:val="0"/>
          <w:sz w:val="27"/>
          <w:szCs w:val="27"/>
        </w:rPr>
        <w:t>、欺诈等行为。</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lastRenderedPageBreak/>
        <w:t>（五）建立基本养老服务清单制度。各地要根据财政承受能力，制定基本养老服务清单，对健康、失能、经济困难等不同老年人群体，分类提供养老保障、生活照料、康复照护、社会救助等适宜服务。清单要明确服务对象、服务内容、服务标准和支出责任，并根据经济社会发展和科技进步进行动态调整。</w:t>
      </w:r>
      <w:r w:rsidRPr="00F15DAA">
        <w:rPr>
          <w:rFonts w:ascii="Helvetica" w:eastAsia="宋体" w:hAnsi="Helvetica" w:cs="Helvetica"/>
          <w:color w:val="262626"/>
          <w:spacing w:val="15"/>
          <w:kern w:val="0"/>
          <w:sz w:val="27"/>
          <w:szCs w:val="27"/>
        </w:rPr>
        <w:t>2022</w:t>
      </w:r>
      <w:r w:rsidRPr="00F15DAA">
        <w:rPr>
          <w:rFonts w:ascii="Helvetica" w:eastAsia="宋体" w:hAnsi="Helvetica" w:cs="Helvetica"/>
          <w:color w:val="262626"/>
          <w:spacing w:val="15"/>
          <w:kern w:val="0"/>
          <w:sz w:val="27"/>
          <w:szCs w:val="27"/>
        </w:rPr>
        <w:t>年年底前，建立老年人能力综合评估制度，评估结果在全国范围内实现跨部门互认。</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六）完善多层次养老保障体系。扩大养老保险覆盖面，逐步实现基本养老保险法定人员全覆盖。尽快实现企业职工基本养老保险全国统筹。健全基本养老保险待遇调整机制，保障领取待遇人员基本生活。大力发展企业（职业）年金，促进和规范发展第三支柱养老保险。探索通过资产收益扶持制度等增加农村老年人收入。</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三、完善老年人健康支撑体系</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七）提高老年人健康服务和管理水平。在城乡社区加强老年健康知识宣传和教育，提升老年人健康素养。做好国家基本公共卫生服务项目中的老年人健康管理和中医药健康管理服务。加强老年人群重点慢性病的早期筛查、干预及分类指导，开展老年口腔健康、老年营养改善、老年痴呆防治和心理关爱行动。提高失能、重病、高龄、低收入等老年人家庭医生签约服务覆盖率，提高服务质量。扩大</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联体提供家庭病床、上门巡诊等居家医疗服务的范围，可按规定报销相关医疗费用，并按成本收取上门服</w:t>
      </w:r>
      <w:r w:rsidRPr="00F15DAA">
        <w:rPr>
          <w:rFonts w:ascii="Helvetica" w:eastAsia="宋体" w:hAnsi="Helvetica" w:cs="Helvetica"/>
          <w:color w:val="262626"/>
          <w:spacing w:val="15"/>
          <w:kern w:val="0"/>
          <w:sz w:val="27"/>
          <w:szCs w:val="27"/>
        </w:rPr>
        <w:lastRenderedPageBreak/>
        <w:t>务费。积极发挥基层医疗卫生机构为老年人提供优质中医药服务的作用。加强国家老年医学中心建设，布局若干区域老年医疗中心。加强综合性医院老年医学科建设，</w:t>
      </w:r>
      <w:r w:rsidRPr="00F15DAA">
        <w:rPr>
          <w:rFonts w:ascii="Helvetica" w:eastAsia="宋体" w:hAnsi="Helvetica" w:cs="Helvetica"/>
          <w:color w:val="262626"/>
          <w:spacing w:val="15"/>
          <w:kern w:val="0"/>
          <w:sz w:val="27"/>
          <w:szCs w:val="27"/>
        </w:rPr>
        <w:t>2025</w:t>
      </w:r>
      <w:r w:rsidRPr="00F15DAA">
        <w:rPr>
          <w:rFonts w:ascii="Helvetica" w:eastAsia="宋体" w:hAnsi="Helvetica" w:cs="Helvetica"/>
          <w:color w:val="262626"/>
          <w:spacing w:val="15"/>
          <w:kern w:val="0"/>
          <w:sz w:val="27"/>
          <w:szCs w:val="27"/>
        </w:rPr>
        <w:t>年二级及以上综合性医院设立老年医学科的比例达到</w:t>
      </w:r>
      <w:r w:rsidRPr="00F15DAA">
        <w:rPr>
          <w:rFonts w:ascii="Helvetica" w:eastAsia="宋体" w:hAnsi="Helvetica" w:cs="Helvetica"/>
          <w:color w:val="262626"/>
          <w:spacing w:val="15"/>
          <w:kern w:val="0"/>
          <w:sz w:val="27"/>
          <w:szCs w:val="27"/>
        </w:rPr>
        <w:t>60%</w:t>
      </w:r>
      <w:r w:rsidRPr="00F15DAA">
        <w:rPr>
          <w:rFonts w:ascii="Helvetica" w:eastAsia="宋体" w:hAnsi="Helvetica" w:cs="Helvetica"/>
          <w:color w:val="262626"/>
          <w:spacing w:val="15"/>
          <w:kern w:val="0"/>
          <w:sz w:val="27"/>
          <w:szCs w:val="27"/>
        </w:rPr>
        <w:t>以上。通过新建改扩建、转型发展，加强老年医院、康复医院、护理院（中心、站）以及优抚医院建设，建立医疗、康复、护理双向转诊机制。加快建设老年友善医疗机构，方便老年人看病就医。</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八）加强失能老年人长期照护服务和保障。完善从专业机构到社区、家庭的长期照护服务模式。按照实施国家基本公共卫生服务项目的有关要求，开展失能老年人健康评估与健康服务。依托护理院（中心、站）、社区卫生服务中心、乡镇卫生院等医疗卫生机构以及具备服务能力的养老服务机构，为失能老年人提供长期照护服务。发展</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互联网</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照护服务</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，积极发展家庭养老床位和护理型养老床位，方便失能老年人照护。稳步扩大</w:t>
      </w:r>
      <w:proofErr w:type="gramStart"/>
      <w:r w:rsidRPr="00F15DAA">
        <w:rPr>
          <w:rFonts w:ascii="Helvetica" w:eastAsia="宋体" w:hAnsi="Helvetica" w:cs="Helvetica"/>
          <w:color w:val="262626"/>
          <w:spacing w:val="15"/>
          <w:kern w:val="0"/>
          <w:sz w:val="27"/>
          <w:szCs w:val="27"/>
        </w:rPr>
        <w:t>安宁疗护试点</w:t>
      </w:r>
      <w:proofErr w:type="gramEnd"/>
      <w:r w:rsidRPr="00F15DAA">
        <w:rPr>
          <w:rFonts w:ascii="Helvetica" w:eastAsia="宋体" w:hAnsi="Helvetica" w:cs="Helvetica"/>
          <w:color w:val="262626"/>
          <w:spacing w:val="15"/>
          <w:kern w:val="0"/>
          <w:sz w:val="27"/>
          <w:szCs w:val="27"/>
        </w:rPr>
        <w:t>。稳妥推进长期护理保险制度试点，指导地方重点围绕进一步明确参保和保障范围、持续健全多元筹资机制、完善科学合理的待遇政策、健全待遇支付等相关标准及管理办法、创新管理和服务机制等方面，加大探索力度，完善现有试点，积极探索建立适合我国国情的长期护理保险制度。</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（九）深入推进</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养结合。卫生健康部门与民政部门要建立</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养结合工作沟通协调机制。鼓励医疗卫生机构与养老机构开展协议合作，进一步整合优化基层医疗卫生和养老资源，提供医疗</w:t>
      </w:r>
      <w:r w:rsidRPr="00F15DAA">
        <w:rPr>
          <w:rFonts w:ascii="Helvetica" w:eastAsia="宋体" w:hAnsi="Helvetica" w:cs="Helvetica"/>
          <w:color w:val="262626"/>
          <w:spacing w:val="15"/>
          <w:kern w:val="0"/>
          <w:sz w:val="27"/>
          <w:szCs w:val="27"/>
        </w:rPr>
        <w:lastRenderedPageBreak/>
        <w:t>救治、康复护理、生活照料等服务。支持医疗资源丰富地区的二级及以下医疗机构转型，开展康复、护理以及</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养结合服务。鼓励基层积极探索相关机构养老床位和医疗床位按需规范转换机制。根据服务老年人的特点，合理核定养老机构举办的医疗机构</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保限额。</w:t>
      </w:r>
      <w:r w:rsidRPr="00F15DAA">
        <w:rPr>
          <w:rFonts w:ascii="Helvetica" w:eastAsia="宋体" w:hAnsi="Helvetica" w:cs="Helvetica"/>
          <w:color w:val="262626"/>
          <w:spacing w:val="15"/>
          <w:kern w:val="0"/>
          <w:sz w:val="27"/>
          <w:szCs w:val="27"/>
        </w:rPr>
        <w:t>2025</w:t>
      </w:r>
      <w:r w:rsidRPr="00F15DAA">
        <w:rPr>
          <w:rFonts w:ascii="Helvetica" w:eastAsia="宋体" w:hAnsi="Helvetica" w:cs="Helvetica"/>
          <w:color w:val="262626"/>
          <w:spacing w:val="15"/>
          <w:kern w:val="0"/>
          <w:sz w:val="27"/>
          <w:szCs w:val="27"/>
        </w:rPr>
        <w:t>年年底前，每个县（市、区、旗）有</w:t>
      </w:r>
      <w:r w:rsidRPr="00F15DAA">
        <w:rPr>
          <w:rFonts w:ascii="Helvetica" w:eastAsia="宋体" w:hAnsi="Helvetica" w:cs="Helvetica"/>
          <w:color w:val="262626"/>
          <w:spacing w:val="15"/>
          <w:kern w:val="0"/>
          <w:sz w:val="27"/>
          <w:szCs w:val="27"/>
        </w:rPr>
        <w:t>1</w:t>
      </w:r>
      <w:r w:rsidRPr="00F15DAA">
        <w:rPr>
          <w:rFonts w:ascii="Helvetica" w:eastAsia="宋体" w:hAnsi="Helvetica" w:cs="Helvetica"/>
          <w:color w:val="262626"/>
          <w:spacing w:val="15"/>
          <w:kern w:val="0"/>
          <w:sz w:val="27"/>
          <w:szCs w:val="27"/>
        </w:rPr>
        <w:t>所以上具有</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养结合功能的县级特困人员供养服务机构。符合条件的失能老年人家庭成员参加照护知识等相关职业技能培训的，按规定给予职业培训补贴。创建一批</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养结合示范项目。</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四、促进老年人社会参与</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扩大老年教育资源供给。将老年教育纳入终身教育体系，教育部门牵头研究制定老年教育发展政策举措，采取促进有条件的学校开展老年教育、支持社会力量举办老年大学（学校）等办法，推动扩大老年教育资源供给。鼓励有条件的高校、职业院校开设老年教育相关专业和课程，加强学科专业建设与人才培养。编写老年教育相关教材。依托国家开放大学筹建国家老年大学，搭建全国老年教育资源共享和公共服务平台。创新机制，推动部门、行业企业、高校举办的老年大学面向社会开放办学。发挥社区党组织作用，引导老年人</w:t>
      </w:r>
      <w:proofErr w:type="gramStart"/>
      <w:r w:rsidRPr="00F15DAA">
        <w:rPr>
          <w:rFonts w:ascii="Helvetica" w:eastAsia="宋体" w:hAnsi="Helvetica" w:cs="Helvetica"/>
          <w:color w:val="262626"/>
          <w:spacing w:val="15"/>
          <w:kern w:val="0"/>
          <w:sz w:val="27"/>
          <w:szCs w:val="27"/>
        </w:rPr>
        <w:t>践行</w:t>
      </w:r>
      <w:proofErr w:type="gramEnd"/>
      <w:r w:rsidRPr="00F15DAA">
        <w:rPr>
          <w:rFonts w:ascii="Helvetica" w:eastAsia="宋体" w:hAnsi="Helvetica" w:cs="Helvetica"/>
          <w:color w:val="262626"/>
          <w:spacing w:val="15"/>
          <w:kern w:val="0"/>
          <w:sz w:val="27"/>
          <w:szCs w:val="27"/>
        </w:rPr>
        <w:t>积极老龄观。</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一）提升老年文化体育服务质量。各地要通过盘活空置房、公园、商场等资源，支持街道社区积极为老年人提供文化体育活动场所，组织开展文化体育活动，实现老年人娱乐、健身、文化、学习、消费、交流等方面的结合。培养服务老年人的基层</w:t>
      </w:r>
      <w:r w:rsidRPr="00F15DAA">
        <w:rPr>
          <w:rFonts w:ascii="Helvetica" w:eastAsia="宋体" w:hAnsi="Helvetica" w:cs="Helvetica"/>
          <w:color w:val="262626"/>
          <w:spacing w:val="15"/>
          <w:kern w:val="0"/>
          <w:sz w:val="27"/>
          <w:szCs w:val="27"/>
        </w:rPr>
        <w:lastRenderedPageBreak/>
        <w:t>文体骨干，提高老年人文体活动参与率和质量，文化和旅游、体育等部门要做好规范和管理工作。开发老年旅游产品和线路，提升老年旅游服务质量和水平。县（市、区、旗）应整合现有资源，设置适宜老年人的教育、文化、健身、交流场所。</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二）鼓励老年人继续发挥作用。把老有所为同老有所养结合起来，完善就业、志愿服务、社区治理等政策措施，充分发挥低龄老年人作用。在学校、医院等单位和社区家政服务、公共场所服务管理等行业，探索适合老年人灵活就业的模式。鼓励各地建立老年人才信息库，为有劳动意愿的老年人提供职业介绍、职业技能培训和创新创业指导服务。深入开展</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银龄行动</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引导老年人以志愿服务形式积极参与基层民主监督、移风易俗、民事调解、文教卫生等活动。发挥老年人在家庭教育、家风传承等方面的积极作用。加强离退休干部职工基层党组织建设，鼓励老党员将组织关系及时转入经常居住地，引导老党员结合自身实际发挥作用，做好老年人精神关爱和思想引导工作。全面清理阻碍老年人继续发挥作用的不合理规定。</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五、着力构建老年友好型社会</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三）加强老年人权益保障。各地在制定涉及老年人利益的具体措施时，应当征求老年人的意见。建立完善涉老婚姻家庭、侵权等矛盾纠纷的预警、排查、调解机制。加强老年人权益保障普法宣传，提高老年人运用法律手段保护权益意识，提升</w:t>
      </w:r>
      <w:proofErr w:type="gramStart"/>
      <w:r w:rsidRPr="00F15DAA">
        <w:rPr>
          <w:rFonts w:ascii="Helvetica" w:eastAsia="宋体" w:hAnsi="Helvetica" w:cs="Helvetica"/>
          <w:color w:val="262626"/>
          <w:spacing w:val="15"/>
          <w:kern w:val="0"/>
          <w:sz w:val="27"/>
          <w:szCs w:val="27"/>
        </w:rPr>
        <w:t>老年人识骗防骗</w:t>
      </w:r>
      <w:proofErr w:type="gramEnd"/>
      <w:r w:rsidRPr="00F15DAA">
        <w:rPr>
          <w:rFonts w:ascii="Helvetica" w:eastAsia="宋体" w:hAnsi="Helvetica" w:cs="Helvetica"/>
          <w:color w:val="262626"/>
          <w:spacing w:val="15"/>
          <w:kern w:val="0"/>
          <w:sz w:val="27"/>
          <w:szCs w:val="27"/>
        </w:rPr>
        <w:t>能力，依法严厉打击电信网络诈骗等违法犯罪行为。完</w:t>
      </w:r>
      <w:r w:rsidRPr="00F15DAA">
        <w:rPr>
          <w:rFonts w:ascii="Helvetica" w:eastAsia="宋体" w:hAnsi="Helvetica" w:cs="Helvetica"/>
          <w:color w:val="262626"/>
          <w:spacing w:val="15"/>
          <w:kern w:val="0"/>
          <w:sz w:val="27"/>
          <w:szCs w:val="27"/>
        </w:rPr>
        <w:lastRenderedPageBreak/>
        <w:t>善老年人监护制度。倡导律师事务所、公证机构、基层法律服务机构为老年人减免法律服务费用，为行动不便的老年人提供上门服务。</w:t>
      </w:r>
      <w:proofErr w:type="gramStart"/>
      <w:r w:rsidRPr="00F15DAA">
        <w:rPr>
          <w:rFonts w:ascii="Helvetica" w:eastAsia="宋体" w:hAnsi="Helvetica" w:cs="Helvetica"/>
          <w:color w:val="262626"/>
          <w:spacing w:val="15"/>
          <w:kern w:val="0"/>
          <w:sz w:val="27"/>
          <w:szCs w:val="27"/>
        </w:rPr>
        <w:t>建立适老型</w:t>
      </w:r>
      <w:proofErr w:type="gramEnd"/>
      <w:r w:rsidRPr="00F15DAA">
        <w:rPr>
          <w:rFonts w:ascii="Helvetica" w:eastAsia="宋体" w:hAnsi="Helvetica" w:cs="Helvetica"/>
          <w:color w:val="262626"/>
          <w:spacing w:val="15"/>
          <w:kern w:val="0"/>
          <w:sz w:val="27"/>
          <w:szCs w:val="27"/>
        </w:rPr>
        <w:t>诉讼服务机制，为老年人便利参与诉讼活动提供保障。</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（十四）打造老年宜居环境。各地要落实无障碍环境建设法规、标准和规范，将无障碍环境建设和</w:t>
      </w:r>
      <w:proofErr w:type="gramStart"/>
      <w:r w:rsidRPr="00F15DAA">
        <w:rPr>
          <w:rFonts w:ascii="Helvetica" w:eastAsia="宋体" w:hAnsi="Helvetica" w:cs="Helvetica"/>
          <w:color w:val="262626"/>
          <w:spacing w:val="15"/>
          <w:kern w:val="0"/>
          <w:sz w:val="27"/>
          <w:szCs w:val="27"/>
        </w:rPr>
        <w:t>适老化</w:t>
      </w:r>
      <w:proofErr w:type="gramEnd"/>
      <w:r w:rsidRPr="00F15DAA">
        <w:rPr>
          <w:rFonts w:ascii="Helvetica" w:eastAsia="宋体" w:hAnsi="Helvetica" w:cs="Helvetica"/>
          <w:color w:val="262626"/>
          <w:spacing w:val="15"/>
          <w:kern w:val="0"/>
          <w:sz w:val="27"/>
          <w:szCs w:val="27"/>
        </w:rPr>
        <w:t>改造纳入城市更新、城镇老旧小区改造、农村危房改造、农村人居环境整治提升统筹推进，让老年人参与社会活动更加安全方便。鼓励有条件的地方对经济困难的失能、残疾、高龄等老年人家庭，实施无障碍和</w:t>
      </w:r>
      <w:proofErr w:type="gramStart"/>
      <w:r w:rsidRPr="00F15DAA">
        <w:rPr>
          <w:rFonts w:ascii="Helvetica" w:eastAsia="宋体" w:hAnsi="Helvetica" w:cs="Helvetica"/>
          <w:color w:val="262626"/>
          <w:spacing w:val="15"/>
          <w:kern w:val="0"/>
          <w:sz w:val="27"/>
          <w:szCs w:val="27"/>
        </w:rPr>
        <w:t>适老化</w:t>
      </w:r>
      <w:proofErr w:type="gramEnd"/>
      <w:r w:rsidRPr="00F15DAA">
        <w:rPr>
          <w:rFonts w:ascii="Helvetica" w:eastAsia="宋体" w:hAnsi="Helvetica" w:cs="Helvetica"/>
          <w:color w:val="262626"/>
          <w:spacing w:val="15"/>
          <w:kern w:val="0"/>
          <w:sz w:val="27"/>
          <w:szCs w:val="27"/>
        </w:rPr>
        <w:t>改造、配备生活辅助器具、安装紧急救援设施、开展定期探访。指导各地结合实际出台家庭</w:t>
      </w:r>
      <w:proofErr w:type="gramStart"/>
      <w:r w:rsidRPr="00F15DAA">
        <w:rPr>
          <w:rFonts w:ascii="Helvetica" w:eastAsia="宋体" w:hAnsi="Helvetica" w:cs="Helvetica"/>
          <w:color w:val="262626"/>
          <w:spacing w:val="15"/>
          <w:kern w:val="0"/>
          <w:sz w:val="27"/>
          <w:szCs w:val="27"/>
        </w:rPr>
        <w:t>适</w:t>
      </w:r>
      <w:proofErr w:type="gramEnd"/>
      <w:r w:rsidRPr="00F15DAA">
        <w:rPr>
          <w:rFonts w:ascii="Helvetica" w:eastAsia="宋体" w:hAnsi="Helvetica" w:cs="Helvetica"/>
          <w:color w:val="262626"/>
          <w:spacing w:val="15"/>
          <w:kern w:val="0"/>
          <w:sz w:val="27"/>
          <w:szCs w:val="27"/>
        </w:rPr>
        <w:t>老化改造标准，鼓励更多家庭开展</w:t>
      </w:r>
      <w:proofErr w:type="gramStart"/>
      <w:r w:rsidRPr="00F15DAA">
        <w:rPr>
          <w:rFonts w:ascii="Helvetica" w:eastAsia="宋体" w:hAnsi="Helvetica" w:cs="Helvetica"/>
          <w:color w:val="262626"/>
          <w:spacing w:val="15"/>
          <w:kern w:val="0"/>
          <w:sz w:val="27"/>
          <w:szCs w:val="27"/>
        </w:rPr>
        <w:t>适</w:t>
      </w:r>
      <w:proofErr w:type="gramEnd"/>
      <w:r w:rsidRPr="00F15DAA">
        <w:rPr>
          <w:rFonts w:ascii="Helvetica" w:eastAsia="宋体" w:hAnsi="Helvetica" w:cs="Helvetica"/>
          <w:color w:val="262626"/>
          <w:spacing w:val="15"/>
          <w:kern w:val="0"/>
          <w:sz w:val="27"/>
          <w:szCs w:val="27"/>
        </w:rPr>
        <w:t>老化改造。在鼓励推广新技术、新方式的同时，保留老年人熟悉的传统服务方式，加快推进老年人常用的互联网应用和移动终端、</w:t>
      </w:r>
      <w:r w:rsidRPr="00F15DAA">
        <w:rPr>
          <w:rFonts w:ascii="Helvetica" w:eastAsia="宋体" w:hAnsi="Helvetica" w:cs="Helvetica"/>
          <w:color w:val="262626"/>
          <w:spacing w:val="15"/>
          <w:kern w:val="0"/>
          <w:sz w:val="27"/>
          <w:szCs w:val="27"/>
        </w:rPr>
        <w:t>APP</w:t>
      </w:r>
      <w:r w:rsidRPr="00F15DAA">
        <w:rPr>
          <w:rFonts w:ascii="Helvetica" w:eastAsia="宋体" w:hAnsi="Helvetica" w:cs="Helvetica"/>
          <w:color w:val="262626"/>
          <w:spacing w:val="15"/>
          <w:kern w:val="0"/>
          <w:sz w:val="27"/>
          <w:szCs w:val="27"/>
        </w:rPr>
        <w:t>应用</w:t>
      </w:r>
      <w:proofErr w:type="gramStart"/>
      <w:r w:rsidRPr="00F15DAA">
        <w:rPr>
          <w:rFonts w:ascii="Helvetica" w:eastAsia="宋体" w:hAnsi="Helvetica" w:cs="Helvetica"/>
          <w:color w:val="262626"/>
          <w:spacing w:val="15"/>
          <w:kern w:val="0"/>
          <w:sz w:val="27"/>
          <w:szCs w:val="27"/>
        </w:rPr>
        <w:t>适</w:t>
      </w:r>
      <w:proofErr w:type="gramEnd"/>
      <w:r w:rsidRPr="00F15DAA">
        <w:rPr>
          <w:rFonts w:ascii="Helvetica" w:eastAsia="宋体" w:hAnsi="Helvetica" w:cs="Helvetica"/>
          <w:color w:val="262626"/>
          <w:spacing w:val="15"/>
          <w:kern w:val="0"/>
          <w:sz w:val="27"/>
          <w:szCs w:val="27"/>
        </w:rPr>
        <w:t>老化改造。实施</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智慧助老</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行动，加强数字技能教育和培训，提升老年人数字素养。</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（十五）强化社会敬老。深入开展人口老龄化国情教育。实施中华孝亲敬老文化传承和创新工程。持续推进</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敬老月</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系列活动和</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敬老文明号</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创建活动，结合时代楷模、道德模范等评选，选树表彰孝亲敬老先进典型。将为老志愿服务纳入中小学综合实践活动和高校学生实践内容。加强老年优待工作，在出行便利、公交乘车优惠、门票减免等基础上，鼓励有条件的地方进一步拓展优待项目、创新优待方式，在醒目位置设置老年人优待标识，</w:t>
      </w:r>
      <w:r w:rsidRPr="00F15DAA">
        <w:rPr>
          <w:rFonts w:ascii="Helvetica" w:eastAsia="宋体" w:hAnsi="Helvetica" w:cs="Helvetica"/>
          <w:color w:val="262626"/>
          <w:spacing w:val="15"/>
          <w:kern w:val="0"/>
          <w:sz w:val="27"/>
          <w:szCs w:val="27"/>
        </w:rPr>
        <w:lastRenderedPageBreak/>
        <w:t>推广老年人凭身份证等有效证件享受各项优待政策。有条件的地方要积极落实外埠老年人同等享受本地优待项目。发挥广播电视和网络视听媒体作用，加强宣传引导，营造良好敬老社会氛围。</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六、积极培育银发经济</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（十六）加强规划引导。编制相关专项规划，完善支持政策体系，统筹推进老龄产业发展。鼓励各地利用资源禀赋优势，发展具有比较优势的特色老龄产业。统筹利用现有资金渠道支持老龄产业发展。</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（十七）</w:t>
      </w:r>
      <w:proofErr w:type="gramStart"/>
      <w:r w:rsidRPr="00F15DAA">
        <w:rPr>
          <w:rFonts w:ascii="Helvetica" w:eastAsia="宋体" w:hAnsi="Helvetica" w:cs="Helvetica"/>
          <w:color w:val="262626"/>
          <w:spacing w:val="15"/>
          <w:kern w:val="0"/>
          <w:sz w:val="27"/>
          <w:szCs w:val="27"/>
        </w:rPr>
        <w:t>发展适老产业</w:t>
      </w:r>
      <w:proofErr w:type="gramEnd"/>
      <w:r w:rsidRPr="00F15DAA">
        <w:rPr>
          <w:rFonts w:ascii="Helvetica" w:eastAsia="宋体" w:hAnsi="Helvetica" w:cs="Helvetica"/>
          <w:color w:val="262626"/>
          <w:spacing w:val="15"/>
          <w:kern w:val="0"/>
          <w:sz w:val="27"/>
          <w:szCs w:val="27"/>
        </w:rPr>
        <w:t>。相关部门要制定老年用品和服务目录、质量标准，推进养老服务认证工作。各地要推动与老年人生活密切相关的食品、药品以及老年用品行业规范发展，提升传统养老产品的功能和质量，满足老年人特殊需要。企业和科研机构要加大老年产品的研发制造力度，支持老年产品关键技术成果转化、服务创新，积极开发适合老年人使用的智能化、辅助性以及康复治疗等方面的产品，满足老年人提高生活品质的需求。鼓励企业设立线上线下融合、为老年人服务的专柜和体验店，大力发展养老相关产业融合的新模式新业态。鼓励商业保险机构在风险可控和商业可持续的前提下，开发老年人健康保险产品。市场监管等部门要加强监管，严厉打击侵犯知识产权和制售假冒伪劣商品等违法行为，维护老年人消费权益，营造安全、便利、诚信的消费环境。</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七、强化老龄工作保障</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lastRenderedPageBreak/>
        <w:t>（十八）加强人才队伍建设。加快建设适应新时代老龄工作需要的专业技术、社会服务、经营管理、科学研究人才和志愿者队伍。用人单位要切实保障养老服务人员工资待遇，建立基于岗位价值、能力素质、业绩贡献的工资分配机制，提升养老服务岗位吸引力。大力发展相关职业教育，开展养老服务、护理人员培养培训行动。对在养老机构举办的医疗机构中工作的医务人员，可参照执行基层医务人员相关激励政策。</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十九）加强老年设施供给。各地区各有关部门要按照《国家积极应对人口老龄化中长期规划》的要求，加强老年设施建设，加快实现养老机构护理型床位、老年大学（学校）等方面目标。各地要制定出台新建城区、新建居住区、老城区和已建成居住区配套养老服务设施设置标准和实施细则，落实养老服务设施设置要求。新建城区、新建居住区按标准要求配套建设养老服务设施实现全覆盖。到</w:t>
      </w:r>
      <w:r w:rsidRPr="00F15DAA">
        <w:rPr>
          <w:rFonts w:ascii="Helvetica" w:eastAsia="宋体" w:hAnsi="Helvetica" w:cs="Helvetica"/>
          <w:color w:val="262626"/>
          <w:spacing w:val="15"/>
          <w:kern w:val="0"/>
          <w:sz w:val="27"/>
          <w:szCs w:val="27"/>
        </w:rPr>
        <w:t>2025</w:t>
      </w:r>
      <w:r w:rsidRPr="00F15DAA">
        <w:rPr>
          <w:rFonts w:ascii="Helvetica" w:eastAsia="宋体" w:hAnsi="Helvetica" w:cs="Helvetica"/>
          <w:color w:val="262626"/>
          <w:spacing w:val="15"/>
          <w:kern w:val="0"/>
          <w:sz w:val="27"/>
          <w:szCs w:val="27"/>
        </w:rPr>
        <w:t>年，老城区和已建成居住区结合城镇老旧小区改造、居住区建设补短板行动等补建一批养老服务设施，</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一刻钟</w:t>
      </w:r>
      <w:r w:rsidRPr="00F15DAA">
        <w:rPr>
          <w:rFonts w:ascii="Helvetica" w:eastAsia="宋体" w:hAnsi="Helvetica" w:cs="Helvetica"/>
          <w:color w:val="262626"/>
          <w:spacing w:val="15"/>
          <w:kern w:val="0"/>
          <w:sz w:val="27"/>
          <w:szCs w:val="27"/>
        </w:rPr>
        <w:t>”</w:t>
      </w:r>
      <w:r w:rsidRPr="00F15DAA">
        <w:rPr>
          <w:rFonts w:ascii="Helvetica" w:eastAsia="宋体" w:hAnsi="Helvetica" w:cs="Helvetica"/>
          <w:color w:val="262626"/>
          <w:spacing w:val="15"/>
          <w:kern w:val="0"/>
          <w:sz w:val="27"/>
          <w:szCs w:val="27"/>
        </w:rPr>
        <w:t>居家养老服务圈逐步完善。依托和整合现有资源，发展街道（乡镇）区域养老服务中心或为老服务综合体，按规定统筹相关政策和资金，为老年人提供综合服务。探索老年人服务设施与儿童服务设施集中布局、共建共享。</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（二十）完善相关支持政策。适应今后一段时期老龄事业发展的资金需求，完善老龄事业发展财政投入政策和多渠道筹资机制，继续加大中央预算内投资支持力度，进一步提高民政部本级</w:t>
      </w:r>
      <w:r w:rsidRPr="00F15DAA">
        <w:rPr>
          <w:rFonts w:ascii="Helvetica" w:eastAsia="宋体" w:hAnsi="Helvetica" w:cs="Helvetica"/>
          <w:color w:val="262626"/>
          <w:spacing w:val="15"/>
          <w:kern w:val="0"/>
          <w:sz w:val="27"/>
          <w:szCs w:val="27"/>
        </w:rPr>
        <w:lastRenderedPageBreak/>
        <w:t>和地方各级政府用于社会福利事业的彩票公益金用于养老服务的比例。各地要统筹老龄事业发展，加大财政投入力度，各相关部门要用好有关资金和资源，积极支持老龄工作。研究制定住房等支持政策，完善阶梯电价、水价、气价政策，鼓励成年子女与老年父母就近居住或共同生活，履行赡养义务、承担照料责任。对赡养负担重的</w:t>
      </w:r>
      <w:proofErr w:type="gramStart"/>
      <w:r w:rsidRPr="00F15DAA">
        <w:rPr>
          <w:rFonts w:ascii="Helvetica" w:eastAsia="宋体" w:hAnsi="Helvetica" w:cs="Helvetica"/>
          <w:color w:val="262626"/>
          <w:spacing w:val="15"/>
          <w:kern w:val="0"/>
          <w:sz w:val="27"/>
          <w:szCs w:val="27"/>
        </w:rPr>
        <w:t>零就业</w:t>
      </w:r>
      <w:proofErr w:type="gramEnd"/>
      <w:r w:rsidRPr="00F15DAA">
        <w:rPr>
          <w:rFonts w:ascii="Helvetica" w:eastAsia="宋体" w:hAnsi="Helvetica" w:cs="Helvetica"/>
          <w:color w:val="262626"/>
          <w:spacing w:val="15"/>
          <w:kern w:val="0"/>
          <w:sz w:val="27"/>
          <w:szCs w:val="27"/>
        </w:rPr>
        <w:t>家庭成员，按规定优先安排公益性岗位。落实相关财税支持政策，鼓励各类公益性社会组织或慈善组织加大对老龄事业投入。开展全国示范性老年友好型社区创建活动，将老年友好型社会建设情况纳入文明城市评选的重要内容。</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二十一）强化科学研究和国际合作。加大国家科技计划（专项、基金等）、社会科学基金等对老龄领域科技创新、基础理论和政策研究的支持力度。支持研究机构和高校设立老龄问题研究智库。推进跨领域、跨部门、跨层级的涉老数据共享，健全老年人生活状况统计调查和发布制度。积极参与全球及地区老龄问题治理，推动实施积极应对人口老龄化国家战略与落实</w:t>
      </w:r>
      <w:r w:rsidRPr="00F15DAA">
        <w:rPr>
          <w:rFonts w:ascii="Helvetica" w:eastAsia="宋体" w:hAnsi="Helvetica" w:cs="Helvetica"/>
          <w:color w:val="262626"/>
          <w:spacing w:val="15"/>
          <w:kern w:val="0"/>
          <w:sz w:val="27"/>
          <w:szCs w:val="27"/>
        </w:rPr>
        <w:t>2030</w:t>
      </w:r>
      <w:r w:rsidRPr="00F15DAA">
        <w:rPr>
          <w:rFonts w:ascii="Helvetica" w:eastAsia="宋体" w:hAnsi="Helvetica" w:cs="Helvetica"/>
          <w:color w:val="262626"/>
          <w:spacing w:val="15"/>
          <w:kern w:val="0"/>
          <w:sz w:val="27"/>
          <w:szCs w:val="27"/>
        </w:rPr>
        <w:t>年可持续发展议程相关目标有效对接。</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八、加强组织实施</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二十二）加强党对老龄工作的领导。各级党委和政府要高度重视并切实做好老龄工作，坚持党政主要负责人亲自抓、负总责，将老龄工作重点任务纳入重要议事日程，纳入经济社会发展规划，纳入民生实事项目，纳入工作督查和绩效考核范围。加大制度创新、政策供给、财政投入力度，健全老龄工作体系，强化</w:t>
      </w:r>
      <w:r w:rsidRPr="00F15DAA">
        <w:rPr>
          <w:rFonts w:ascii="Helvetica" w:eastAsia="宋体" w:hAnsi="Helvetica" w:cs="Helvetica"/>
          <w:color w:val="262626"/>
          <w:spacing w:val="15"/>
          <w:kern w:val="0"/>
          <w:sz w:val="27"/>
          <w:szCs w:val="27"/>
        </w:rPr>
        <w:lastRenderedPageBreak/>
        <w:t>基层力量配备。发挥城乡基层党组织和基层自治组织作用，把老龄工作组织好、落实好，做到层层有责任、事事有人抓。建设党性坚强、作风优良、能力过硬的老龄工作干部队伍。综合运用应对人口老龄化能力评价结果，做好老龄工作综合评估。</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（二十三）落实工作责任。全国老龄工作委员会要强化老龄工作统筹协调职能，加强办事机构能力建设。卫生健康部门要建立完善老年健康支撑体系，组织推进</w:t>
      </w:r>
      <w:proofErr w:type="gramStart"/>
      <w:r w:rsidRPr="00F15DAA">
        <w:rPr>
          <w:rFonts w:ascii="Helvetica" w:eastAsia="宋体" w:hAnsi="Helvetica" w:cs="Helvetica"/>
          <w:color w:val="262626"/>
          <w:spacing w:val="15"/>
          <w:kern w:val="0"/>
          <w:sz w:val="27"/>
          <w:szCs w:val="27"/>
        </w:rPr>
        <w:t>医</w:t>
      </w:r>
      <w:proofErr w:type="gramEnd"/>
      <w:r w:rsidRPr="00F15DAA">
        <w:rPr>
          <w:rFonts w:ascii="Helvetica" w:eastAsia="宋体" w:hAnsi="Helvetica" w:cs="Helvetica"/>
          <w:color w:val="262626"/>
          <w:spacing w:val="15"/>
          <w:kern w:val="0"/>
          <w:sz w:val="27"/>
          <w:szCs w:val="27"/>
        </w:rPr>
        <w:t>养结合，组织开展疾病防治、医疗照护、心理健康与关怀服务等老年健康工作。发展改革部门要拟订并组织实施养老服务体系规划，推进老龄事业和产业发展与国家发展规划、年度计划相衔接，推动养老服务业发展。民政部门要统筹推进、督促指导、监督管理养老服务工作，拟订养老服务体系政策、标准并组织实施，承担老年人福利和特殊困难老年人救助工作。教育、科技、工业和信息化、公安、财政、人力资源社会保障、自然资源、住房城乡建设、商务、文化和旅游、金融、税务、市场监管、体育、医疗保障等部门要根据职责分工，认真履职，主动作为，及时解决工作中遇到的问题，形成齐抓共管、整体推进的工作机制。</w:t>
      </w:r>
    </w:p>
    <w:p w:rsidR="00F15DAA" w:rsidRPr="00F15DAA" w:rsidRDefault="00F15DAA" w:rsidP="00F15DAA">
      <w:pPr>
        <w:widowControl/>
        <w:ind w:firstLine="539"/>
        <w:rPr>
          <w:rFonts w:ascii="Helvetica" w:eastAsia="宋体" w:hAnsi="Helvetica" w:cs="Helvetica"/>
          <w:color w:val="262626"/>
          <w:spacing w:val="15"/>
          <w:kern w:val="0"/>
          <w:sz w:val="27"/>
          <w:szCs w:val="27"/>
        </w:rPr>
      </w:pPr>
      <w:r w:rsidRPr="00F15DAA">
        <w:rPr>
          <w:rFonts w:ascii="Helvetica" w:eastAsia="宋体" w:hAnsi="Helvetica" w:cs="Helvetica"/>
          <w:color w:val="262626"/>
          <w:spacing w:val="15"/>
          <w:kern w:val="0"/>
          <w:sz w:val="27"/>
          <w:szCs w:val="27"/>
        </w:rPr>
        <w:t>（二十四）广泛动员社会参与。注重发挥工会、共青团、妇联、残联等群团组织和老年人相关社会组织、机关企事业单位的作用，结合各自职能开展老龄工作，形成全社会共同参与的工作格局。发挥中国老龄协会推动老龄事业发展的作用，提升基层老年协会能力。及时总结推广老龄工作先进典型经验。</w:t>
      </w:r>
    </w:p>
    <w:sectPr w:rsidR="00F15DAA" w:rsidRPr="00F15DAA" w:rsidSect="003B372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9A19C4"/>
    <w:multiLevelType w:val="multilevel"/>
    <w:tmpl w:val="71C0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15DAA"/>
    <w:rsid w:val="003B3725"/>
    <w:rsid w:val="00F15D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725"/>
    <w:pPr>
      <w:widowControl w:val="0"/>
      <w:jc w:val="both"/>
    </w:pPr>
  </w:style>
  <w:style w:type="paragraph" w:styleId="3">
    <w:name w:val="heading 3"/>
    <w:basedOn w:val="a"/>
    <w:link w:val="3Char"/>
    <w:uiPriority w:val="9"/>
    <w:qFormat/>
    <w:rsid w:val="00F15DA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F15DAA"/>
    <w:rPr>
      <w:rFonts w:ascii="宋体" w:eastAsia="宋体" w:hAnsi="宋体" w:cs="宋体"/>
      <w:b/>
      <w:bCs/>
      <w:kern w:val="0"/>
      <w:sz w:val="27"/>
      <w:szCs w:val="27"/>
    </w:rPr>
  </w:style>
  <w:style w:type="paragraph" w:styleId="a3">
    <w:name w:val="Normal (Web)"/>
    <w:basedOn w:val="a"/>
    <w:uiPriority w:val="99"/>
    <w:semiHidden/>
    <w:unhideWhenUsed/>
    <w:rsid w:val="00F15DAA"/>
    <w:pPr>
      <w:widowControl/>
      <w:spacing w:before="100" w:beforeAutospacing="1" w:after="100" w:afterAutospacing="1"/>
      <w:jc w:val="left"/>
    </w:pPr>
    <w:rPr>
      <w:rFonts w:ascii="宋体" w:eastAsia="宋体" w:hAnsi="宋体" w:cs="宋体"/>
      <w:kern w:val="0"/>
      <w:sz w:val="24"/>
      <w:szCs w:val="24"/>
    </w:rPr>
  </w:style>
  <w:style w:type="character" w:customStyle="1" w:styleId="source">
    <w:name w:val="source"/>
    <w:basedOn w:val="a0"/>
    <w:rsid w:val="00F15DAA"/>
  </w:style>
  <w:style w:type="character" w:styleId="a4">
    <w:name w:val="Hyperlink"/>
    <w:basedOn w:val="a0"/>
    <w:uiPriority w:val="99"/>
    <w:semiHidden/>
    <w:unhideWhenUsed/>
    <w:rsid w:val="00F15DAA"/>
    <w:rPr>
      <w:color w:val="0000FF"/>
      <w:u w:val="single"/>
    </w:rPr>
  </w:style>
  <w:style w:type="paragraph" w:customStyle="1" w:styleId="time">
    <w:name w:val="time"/>
    <w:basedOn w:val="a"/>
    <w:rsid w:val="00F15DA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73357148">
      <w:bodyDiv w:val="1"/>
      <w:marLeft w:val="0"/>
      <w:marRight w:val="0"/>
      <w:marTop w:val="0"/>
      <w:marBottom w:val="0"/>
      <w:divBdr>
        <w:top w:val="none" w:sz="0" w:space="0" w:color="auto"/>
        <w:left w:val="none" w:sz="0" w:space="0" w:color="auto"/>
        <w:bottom w:val="none" w:sz="0" w:space="0" w:color="auto"/>
        <w:right w:val="none" w:sz="0" w:space="0" w:color="auto"/>
      </w:divBdr>
      <w:divsChild>
        <w:div w:id="1430808528">
          <w:marLeft w:val="0"/>
          <w:marRight w:val="0"/>
          <w:marTop w:val="0"/>
          <w:marBottom w:val="0"/>
          <w:divBdr>
            <w:top w:val="none" w:sz="0" w:space="0" w:color="auto"/>
            <w:left w:val="none" w:sz="0" w:space="0" w:color="auto"/>
            <w:bottom w:val="none" w:sz="0" w:space="0" w:color="auto"/>
            <w:right w:val="none" w:sz="0" w:space="0" w:color="auto"/>
          </w:divBdr>
          <w:divsChild>
            <w:div w:id="2111389022">
              <w:marLeft w:val="0"/>
              <w:marRight w:val="0"/>
              <w:marTop w:val="0"/>
              <w:marBottom w:val="900"/>
              <w:divBdr>
                <w:top w:val="none" w:sz="0" w:space="0" w:color="auto"/>
                <w:left w:val="none" w:sz="0" w:space="0" w:color="auto"/>
                <w:bottom w:val="none" w:sz="0" w:space="0" w:color="auto"/>
                <w:right w:val="none" w:sz="0" w:space="0" w:color="auto"/>
              </w:divBdr>
            </w:div>
            <w:div w:id="674915838">
              <w:marLeft w:val="0"/>
              <w:marRight w:val="0"/>
              <w:marTop w:val="0"/>
              <w:marBottom w:val="390"/>
              <w:divBdr>
                <w:top w:val="none" w:sz="0" w:space="0" w:color="auto"/>
                <w:left w:val="none" w:sz="0" w:space="0" w:color="auto"/>
                <w:bottom w:val="none" w:sz="0" w:space="0" w:color="auto"/>
                <w:right w:val="none" w:sz="0" w:space="0" w:color="auto"/>
              </w:divBdr>
              <w:divsChild>
                <w:div w:id="1745567344">
                  <w:marLeft w:val="0"/>
                  <w:marRight w:val="0"/>
                  <w:marTop w:val="0"/>
                  <w:marBottom w:val="0"/>
                  <w:divBdr>
                    <w:top w:val="none" w:sz="0" w:space="0" w:color="auto"/>
                    <w:left w:val="none" w:sz="0" w:space="0" w:color="auto"/>
                    <w:bottom w:val="none" w:sz="0" w:space="0" w:color="auto"/>
                    <w:right w:val="none" w:sz="0" w:space="0" w:color="auto"/>
                  </w:divBdr>
                </w:div>
                <w:div w:id="2680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61972">
          <w:marLeft w:val="0"/>
          <w:marRight w:val="0"/>
          <w:marTop w:val="0"/>
          <w:marBottom w:val="0"/>
          <w:divBdr>
            <w:top w:val="none" w:sz="0" w:space="0" w:color="auto"/>
            <w:left w:val="none" w:sz="0" w:space="0" w:color="auto"/>
            <w:bottom w:val="none" w:sz="0" w:space="0" w:color="auto"/>
            <w:right w:val="none" w:sz="0" w:space="0" w:color="auto"/>
          </w:divBdr>
          <w:divsChild>
            <w:div w:id="1327824981">
              <w:marLeft w:val="0"/>
              <w:marRight w:val="0"/>
              <w:marTop w:val="0"/>
              <w:marBottom w:val="600"/>
              <w:divBdr>
                <w:top w:val="none" w:sz="0" w:space="0" w:color="auto"/>
                <w:left w:val="none" w:sz="0" w:space="0" w:color="auto"/>
                <w:bottom w:val="none" w:sz="0" w:space="0" w:color="auto"/>
                <w:right w:val="none" w:sz="0" w:space="0" w:color="auto"/>
              </w:divBdr>
              <w:divsChild>
                <w:div w:id="11994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ap.peopleapp.com/article/6370523/6258094"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1021</Words>
  <Characters>5826</Characters>
  <Application>Microsoft Office Word</Application>
  <DocSecurity>0</DocSecurity>
  <Lines>48</Lines>
  <Paragraphs>13</Paragraphs>
  <ScaleCrop>false</ScaleCrop>
  <Company/>
  <LinksUpToDate>false</LinksUpToDate>
  <CharactersWithSpaces>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2021-11-25T06:02:00Z</cp:lastPrinted>
  <dcterms:created xsi:type="dcterms:W3CDTF">2021-11-25T05:58:00Z</dcterms:created>
  <dcterms:modified xsi:type="dcterms:W3CDTF">2021-11-25T06:06:00Z</dcterms:modified>
</cp:coreProperties>
</file>